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R4-2100050</w:t>
      </w:r>
      <w:bookmarkStart w:id="9" w:name="_GoBack"/>
      <w:bookmarkEnd w:id="9"/>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Random access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7.1.5.2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companies identified that the latest RAN2 spec TS 38.321 has been modified to reflect changes by LBT results upon 2-step and 4-step based RA process, which is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4"/>
              <w:rPr>
                <w:rFonts w:eastAsia="Malgun Gothic"/>
                <w:lang w:eastAsia="ko-KR"/>
              </w:rPr>
            </w:pPr>
            <w:bookmarkStart w:id="4" w:name="_Toc52796463"/>
            <w:bookmarkStart w:id="5" w:name="_Toc60791742"/>
            <w:bookmarkStart w:id="6" w:name="_Toc52752001"/>
            <w:bookmarkStart w:id="7" w:name="_Toc46490306"/>
            <w:bookmarkStart w:id="8" w:name="_Toc37296180"/>
            <w:r>
              <w:rPr>
                <w:rFonts w:eastAsia="Malgun Gothic"/>
                <w:lang w:eastAsia="ko-KR"/>
              </w:rPr>
              <w:t>5.1.3a</w:t>
            </w:r>
            <w:r>
              <w:rPr>
                <w:rFonts w:eastAsia="Malgun Gothic"/>
                <w:lang w:eastAsia="ko-KR"/>
              </w:rPr>
              <w:tab/>
            </w:r>
            <w:r>
              <w:rPr>
                <w:rFonts w:eastAsia="宋体"/>
                <w:lang w:eastAsia="zh-CN"/>
              </w:rPr>
              <w:t>MSGA</w:t>
            </w:r>
            <w:r>
              <w:rPr>
                <w:rFonts w:eastAsia="Malgun Gothic"/>
                <w:lang w:eastAsia="ko-KR"/>
              </w:rPr>
              <w:t xml:space="preserve"> transmission</w:t>
            </w:r>
            <w:bookmarkEnd w:id="4"/>
            <w:bookmarkEnd w:id="5"/>
            <w:bookmarkEnd w:id="6"/>
            <w:bookmarkEnd w:id="7"/>
            <w:bookmarkEnd w:id="8"/>
          </w:p>
          <w:p>
            <w:pPr>
              <w:rPr>
                <w:rFonts w:eastAsia="Malgun Gothic"/>
                <w:lang w:eastAsia="ko-KR"/>
              </w:rPr>
            </w:pPr>
            <w:r>
              <w:rPr>
                <w:lang w:eastAsia="ko-KR"/>
              </w:rPr>
              <w:t xml:space="preserve">The MAC entity shall, for each </w:t>
            </w:r>
            <w:r>
              <w:rPr>
                <w:rFonts w:eastAsia="宋体"/>
                <w:lang w:eastAsia="zh-CN"/>
              </w:rPr>
              <w:t>MSGA</w:t>
            </w:r>
            <w:r>
              <w:rPr>
                <w:lang w:eastAsia="ko-KR"/>
              </w:rPr>
              <w:t>:</w:t>
            </w:r>
          </w:p>
          <w:p>
            <w:pPr>
              <w:pStyle w:val="68"/>
              <w:rPr>
                <w:lang w:eastAsia="ko-KR"/>
              </w:rPr>
            </w:pPr>
            <w:r>
              <w:rPr>
                <w:lang w:eastAsia="ko-KR"/>
              </w:rPr>
              <w:t>1&gt;</w:t>
            </w:r>
            <w:r>
              <w:rPr>
                <w:lang w:eastAsia="ko-KR"/>
              </w:rPr>
              <w:tab/>
            </w:r>
            <w:r>
              <w:rPr>
                <w:lang w:eastAsia="ko-KR"/>
              </w:rPr>
              <w:t xml:space="preserve">if </w:t>
            </w:r>
            <w:r>
              <w:rPr>
                <w:i/>
                <w:iCs/>
                <w:lang w:eastAsia="ko-KR"/>
              </w:rPr>
              <w:t>PREAMBLE_TRANSMISSION_COUNTER</w:t>
            </w:r>
            <w:r>
              <w:rPr>
                <w:lang w:eastAsia="ko-KR"/>
              </w:rPr>
              <w:t xml:space="preserve"> is greater than one; and</w:t>
            </w:r>
          </w:p>
          <w:p>
            <w:pPr>
              <w:pStyle w:val="68"/>
              <w:rPr>
                <w:lang w:eastAsia="ko-KR"/>
              </w:rPr>
            </w:pPr>
            <w:r>
              <w:rPr>
                <w:lang w:eastAsia="ko-KR"/>
              </w:rPr>
              <w:t>1&gt;</w:t>
            </w:r>
            <w:r>
              <w:rPr>
                <w:lang w:eastAsia="ko-KR"/>
              </w:rPr>
              <w:tab/>
            </w:r>
            <w:r>
              <w:rPr>
                <w:lang w:eastAsia="ko-KR"/>
              </w:rPr>
              <w:t>if the notification of suspending power ramping counter has not been received from lower layers; and</w:t>
            </w:r>
          </w:p>
          <w:p>
            <w:pPr>
              <w:pStyle w:val="68"/>
              <w:rPr>
                <w:highlight w:val="yellow"/>
                <w:lang w:eastAsia="ko-KR"/>
              </w:rPr>
            </w:pPr>
            <w:r>
              <w:rPr>
                <w:highlight w:val="yellow"/>
                <w:lang w:eastAsia="ko-KR"/>
              </w:rPr>
              <w:t>1&gt;</w:t>
            </w:r>
            <w:r>
              <w:rPr>
                <w:highlight w:val="yellow"/>
                <w:lang w:eastAsia="ko-KR"/>
              </w:rPr>
              <w:tab/>
            </w:r>
            <w:r>
              <w:rPr>
                <w:highlight w:val="yellow"/>
                <w:lang w:eastAsia="ko-KR"/>
              </w:rPr>
              <w:t>if LBT failure indication was not received from lower layers for the last MSGA Random Access Preamble transmission; and</w:t>
            </w:r>
          </w:p>
          <w:p>
            <w:pPr>
              <w:pStyle w:val="68"/>
              <w:rPr>
                <w:lang w:eastAsia="ko-KR"/>
              </w:rPr>
            </w:pPr>
            <w:r>
              <w:rPr>
                <w:lang w:eastAsia="ko-KR"/>
              </w:rPr>
              <w:t>1&gt;</w:t>
            </w:r>
            <w:r>
              <w:rPr>
                <w:lang w:eastAsia="ko-KR"/>
              </w:rPr>
              <w:tab/>
            </w:r>
            <w:r>
              <w:rPr>
                <w:lang w:eastAsia="ko-KR"/>
              </w:rPr>
              <w:t>if SSB selected is not changed from the selection in the last Random Access Preamble transmission:</w:t>
            </w:r>
          </w:p>
          <w:p>
            <w:pPr>
              <w:pStyle w:val="52"/>
              <w:rPr>
                <w:lang w:eastAsia="ko-KR"/>
              </w:rPr>
            </w:pPr>
            <w:r>
              <w:rPr>
                <w:lang w:eastAsia="ko-KR"/>
              </w:rPr>
              <w:t>2&gt;</w:t>
            </w:r>
            <w:r>
              <w:rPr>
                <w:lang w:eastAsia="ko-KR"/>
              </w:rPr>
              <w:tab/>
            </w:r>
            <w:r>
              <w:rPr>
                <w:lang w:eastAsia="ko-KR"/>
              </w:rPr>
              <w:t xml:space="preserve">increment </w:t>
            </w:r>
            <w:r>
              <w:rPr>
                <w:i/>
                <w:iCs/>
                <w:lang w:eastAsia="ko-KR"/>
              </w:rPr>
              <w:t>PREAMBLE_POWER_RAMPING_COUNTER</w:t>
            </w:r>
            <w:r>
              <w:rPr>
                <w:lang w:eastAsia="ko-KR"/>
              </w:rPr>
              <w:t xml:space="preserve"> by 1.</w:t>
            </w:r>
          </w:p>
          <w:p>
            <w:pPr>
              <w:pStyle w:val="68"/>
              <w:rPr>
                <w:lang w:eastAsia="ko-KR"/>
              </w:rPr>
            </w:pPr>
            <w:r>
              <w:rPr>
                <w:lang w:eastAsia="ko-KR"/>
              </w:rPr>
              <w:t>1&gt;</w:t>
            </w:r>
            <w:r>
              <w:rPr>
                <w:lang w:eastAsia="ko-KR"/>
              </w:rPr>
              <w:tab/>
            </w:r>
            <w:r>
              <w:rPr>
                <w:lang w:eastAsia="ko-KR"/>
              </w:rPr>
              <w:t xml:space="preserve">select the value of </w:t>
            </w:r>
            <w:r>
              <w:rPr>
                <w:i/>
                <w:iCs/>
                <w:lang w:eastAsia="ko-KR"/>
              </w:rPr>
              <w:t>DELTA_PREAMBLE</w:t>
            </w:r>
            <w:r>
              <w:rPr>
                <w:lang w:eastAsia="ko-KR"/>
              </w:rPr>
              <w:t xml:space="preserve"> according to clause 7.3;</w:t>
            </w:r>
          </w:p>
          <w:p>
            <w:pPr>
              <w:pStyle w:val="68"/>
              <w:rPr>
                <w:lang w:eastAsia="ko-KR"/>
              </w:rPr>
            </w:pPr>
            <w:r>
              <w:rPr>
                <w:lang w:eastAsia="ko-KR"/>
              </w:rPr>
              <w:t>1&gt;</w:t>
            </w:r>
            <w:r>
              <w:rPr>
                <w:lang w:eastAsia="ko-KR"/>
              </w:rPr>
              <w:tab/>
            </w:r>
            <w:r>
              <w:rPr>
                <w:lang w:eastAsia="ko-KR"/>
              </w:rPr>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pPr>
              <w:pStyle w:val="68"/>
              <w:rPr>
                <w:lang w:eastAsia="ko-KR"/>
              </w:rPr>
            </w:pPr>
            <w:r>
              <w:rPr>
                <w:rFonts w:eastAsiaTheme="minorEastAsia"/>
                <w:lang w:eastAsia="ko-KR"/>
              </w:rPr>
              <w:t>1</w:t>
            </w:r>
            <w:r>
              <w:rPr>
                <w:lang w:eastAsia="ko-KR"/>
              </w:rPr>
              <w:t>&gt;</w:t>
            </w:r>
            <w:r>
              <w:rPr>
                <w:lang w:eastAsia="ko-KR"/>
              </w:rPr>
              <w:tab/>
            </w:r>
            <w:r>
              <w:rPr>
                <w:lang w:eastAsia="ko-KR"/>
              </w:rPr>
              <w:t xml:space="preserve">if this is the first </w:t>
            </w:r>
            <w:r>
              <w:rPr>
                <w:rFonts w:eastAsiaTheme="minorEastAsia"/>
                <w:lang w:eastAsia="ko-KR"/>
              </w:rPr>
              <w:t>MSGA transmission</w:t>
            </w:r>
            <w:r>
              <w:rPr>
                <w:lang w:eastAsia="ko-KR"/>
              </w:rPr>
              <w:t xml:space="preserve"> within this Random Access procedure:</w:t>
            </w:r>
          </w:p>
          <w:p>
            <w:pPr>
              <w:pStyle w:val="52"/>
              <w:rPr>
                <w:lang w:eastAsia="ko-KR"/>
              </w:rPr>
            </w:pPr>
            <w:r>
              <w:rPr>
                <w:lang w:eastAsia="ko-KR"/>
              </w:rPr>
              <w:t>2&gt;</w:t>
            </w:r>
            <w:r>
              <w:rPr>
                <w:lang w:eastAsia="ko-KR"/>
              </w:rPr>
              <w:tab/>
            </w:r>
            <w:r>
              <w:rPr>
                <w:lang w:eastAsia="ko-KR"/>
              </w:rPr>
              <w:t>if the transmission is not being made for the CCCH logical channel:</w:t>
            </w:r>
          </w:p>
          <w:p>
            <w:pPr>
              <w:pStyle w:val="69"/>
              <w:rPr>
                <w:lang w:eastAsia="en-US"/>
              </w:rPr>
            </w:pPr>
            <w:r>
              <w:t>3&gt;</w:t>
            </w:r>
            <w:r>
              <w:tab/>
            </w:r>
            <w:r>
              <w:t>indicate to the Multiplexing and assembly entity to include a C-RNTI MAC CE in the subsequent uplink transmission.</w:t>
            </w:r>
          </w:p>
          <w:p>
            <w:pPr>
              <w:pStyle w:val="52"/>
            </w:pPr>
            <w:r>
              <w:t>2&gt;</w:t>
            </w:r>
            <w:r>
              <w:tab/>
            </w:r>
            <w:r>
              <w:t>if the Random Access procedure was initiated for SpCell beam failure recovery:</w:t>
            </w:r>
          </w:p>
          <w:p>
            <w:pPr>
              <w:pStyle w:val="69"/>
            </w:pPr>
            <w:r>
              <w:t>3&gt;</w:t>
            </w:r>
            <w:r>
              <w:tab/>
            </w:r>
            <w:r>
              <w:t>indicate to the Multiplexing and assembly entity to include a BFR MAC CE or a Truncated BFR MAC CE in the subsequent uplink transmission.</w:t>
            </w:r>
          </w:p>
          <w:p>
            <w:pPr>
              <w:pStyle w:val="52"/>
            </w:pPr>
            <w:r>
              <w:t>2&gt;</w:t>
            </w:r>
            <w:r>
              <w:tab/>
            </w:r>
            <w:r>
              <w:t xml:space="preserve">obtain the MAC PDU to transmit from the Multiplexing and assembly entity according to the HARQ information determined for the MSGA payload (see clause 5.1.2a) and store it in the </w:t>
            </w:r>
            <w:r>
              <w:rPr>
                <w:rFonts w:eastAsiaTheme="minorEastAsia"/>
              </w:rPr>
              <w:t>MSGA</w:t>
            </w:r>
            <w:r>
              <w:t xml:space="preserve"> buffer.</w:t>
            </w:r>
          </w:p>
          <w:p>
            <w:pPr>
              <w:pStyle w:val="68"/>
              <w:rPr>
                <w:lang w:eastAsia="ko-KR"/>
              </w:rPr>
            </w:pPr>
            <w:r>
              <w:rPr>
                <w:lang w:eastAsia="ko-KR"/>
              </w:rPr>
              <w:t>1&gt;</w:t>
            </w:r>
            <w:r>
              <w:rPr>
                <w:lang w:eastAsia="ko-KR"/>
              </w:rPr>
              <w:tab/>
            </w:r>
            <w:r>
              <w:rPr>
                <w:rFonts w:eastAsiaTheme="minorEastAsia"/>
                <w:lang w:eastAsia="ko-KR"/>
              </w:rPr>
              <w:t>c</w:t>
            </w:r>
            <w:r>
              <w:rPr>
                <w:lang w:eastAsia="ko-KR"/>
              </w:rPr>
              <w:t>ompute the MSGB-RNTI associated with the PRACH occasion in which the Random Access Preamble is transmitted;</w:t>
            </w:r>
          </w:p>
          <w:p>
            <w:pPr>
              <w:pStyle w:val="68"/>
              <w:rPr>
                <w:lang w:eastAsia="ko-KR"/>
              </w:rPr>
            </w:pPr>
            <w:r>
              <w:rPr>
                <w:lang w:eastAsia="ko-KR"/>
              </w:rPr>
              <w:t>1&gt;</w:t>
            </w:r>
            <w:r>
              <w:rPr>
                <w:lang w:eastAsia="ko-KR"/>
              </w:rPr>
              <w:tab/>
            </w:r>
            <w:r>
              <w:rPr>
                <w:lang w:eastAsia="ko-KR"/>
              </w:rPr>
              <w:t xml:space="preserve">instruct the physical layer to transmit the </w:t>
            </w:r>
            <w:r>
              <w:rPr>
                <w:rFonts w:eastAsiaTheme="minorEastAsia"/>
                <w:lang w:eastAsia="ko-KR"/>
              </w:rPr>
              <w:t>MSGA</w:t>
            </w:r>
            <w:r>
              <w:rPr>
                <w:lang w:eastAsia="ko-KR"/>
              </w:rPr>
              <w:t xml:space="preserve">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r>
              <w:rPr>
                <w:i/>
                <w:iCs/>
                <w:lang w:eastAsia="ko-KR"/>
              </w:rPr>
              <w:t>msgA-P</w:t>
            </w:r>
            <w:r>
              <w:rPr>
                <w:i/>
              </w:rPr>
              <w:t>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pPr>
              <w:pStyle w:val="68"/>
              <w:rPr>
                <w:highlight w:val="yellow"/>
                <w:lang w:eastAsia="ko-KR"/>
              </w:rPr>
            </w:pPr>
            <w:r>
              <w:rPr>
                <w:highlight w:val="yellow"/>
                <w:lang w:eastAsia="ko-KR"/>
              </w:rPr>
              <w:t>1&gt;</w:t>
            </w:r>
            <w:r>
              <w:rPr>
                <w:highlight w:val="yellow"/>
                <w:lang w:eastAsia="ko-KR"/>
              </w:rPr>
              <w:tab/>
            </w:r>
            <w:r>
              <w:rPr>
                <w:highlight w:val="yellow"/>
                <w:lang w:eastAsia="ko-KR"/>
              </w:rPr>
              <w:t>if LBT failure indication is received from lower layers for the transmission of this MSGA Random Access Preamble:</w:t>
            </w:r>
          </w:p>
          <w:p>
            <w:pPr>
              <w:pStyle w:val="52"/>
              <w:rPr>
                <w:lang w:eastAsia="en-US"/>
              </w:rPr>
            </w:pPr>
            <w:r>
              <w:t>2&gt;</w:t>
            </w:r>
            <w:r>
              <w:tab/>
            </w:r>
            <w:r>
              <w:rPr>
                <w:lang w:eastAsia="ko-KR"/>
              </w:rPr>
              <w:t>instruct the physical layer to cancel the transmission of the MSGA payload on the associated PUSCH resource;</w:t>
            </w:r>
          </w:p>
          <w:p>
            <w:pPr>
              <w:pStyle w:val="52"/>
              <w:rPr>
                <w:highlight w:val="yellow"/>
                <w:lang w:eastAsia="ko-KR"/>
              </w:rPr>
            </w:pPr>
            <w:r>
              <w:rPr>
                <w:highlight w:val="yellow"/>
              </w:rPr>
              <w:t>2&gt;</w:t>
            </w:r>
            <w:r>
              <w:rPr>
                <w:highlight w:val="yellow"/>
              </w:rPr>
              <w:tab/>
            </w:r>
            <w:r>
              <w:rPr>
                <w:highlight w:val="yellow"/>
                <w:lang w:eastAsia="ko-KR"/>
              </w:rPr>
              <w:t xml:space="preserve">if </w:t>
            </w:r>
            <w:r>
              <w:rPr>
                <w:i/>
                <w:highlight w:val="yellow"/>
                <w:lang w:eastAsia="ko-KR"/>
              </w:rPr>
              <w:t>lbt-FailureRecoveryConfig</w:t>
            </w:r>
            <w:r>
              <w:rPr>
                <w:highlight w:val="yellow"/>
                <w:lang w:eastAsia="ko-KR"/>
              </w:rPr>
              <w:t xml:space="preserve"> is configured:</w:t>
            </w:r>
          </w:p>
          <w:p>
            <w:pPr>
              <w:pStyle w:val="69"/>
              <w:rPr>
                <w:lang w:eastAsia="ko-KR"/>
              </w:rPr>
            </w:pPr>
            <w:r>
              <w:t>3&gt;</w:t>
            </w:r>
            <w:r>
              <w:tab/>
            </w:r>
            <w:r>
              <w:rPr>
                <w:lang w:eastAsia="ko-KR"/>
              </w:rPr>
              <w:t>perform the Random Access Resource selection procedure for 2-step RA type (see clause 5.1.2a).</w:t>
            </w:r>
          </w:p>
          <w:p>
            <w:pPr>
              <w:pStyle w:val="52"/>
              <w:rPr>
                <w:lang w:eastAsia="ko-KR"/>
              </w:rPr>
            </w:pPr>
            <w:r>
              <w:t>2&gt;</w:t>
            </w:r>
            <w:r>
              <w:tab/>
            </w:r>
            <w:r>
              <w:rPr>
                <w:lang w:eastAsia="ko-KR"/>
              </w:rPr>
              <w:t>else:</w:t>
            </w:r>
          </w:p>
          <w:p>
            <w:pPr>
              <w:pStyle w:val="69"/>
              <w:rPr>
                <w:lang w:eastAsia="ko-KR"/>
              </w:rPr>
            </w:pPr>
            <w:r>
              <w:rPr>
                <w:lang w:eastAsia="ko-KR"/>
              </w:rPr>
              <w:t>3&gt;</w:t>
            </w:r>
            <w:r>
              <w:rPr>
                <w:lang w:eastAsia="ko-KR"/>
              </w:rPr>
              <w:tab/>
            </w:r>
            <w:r>
              <w:rPr>
                <w:lang w:eastAsia="ko-KR"/>
              </w:rPr>
              <w:t xml:space="preserve">increment </w:t>
            </w:r>
            <w:r>
              <w:rPr>
                <w:i/>
                <w:iCs/>
                <w:lang w:eastAsia="ko-KR"/>
              </w:rPr>
              <w:t>PREAMBLE_TRANSMISSION_COUNTER</w:t>
            </w:r>
            <w:r>
              <w:rPr>
                <w:lang w:eastAsia="ko-KR"/>
              </w:rPr>
              <w:t xml:space="preserve"> by 1;</w:t>
            </w:r>
          </w:p>
          <w:p>
            <w:pPr>
              <w:pStyle w:val="69"/>
              <w:rPr>
                <w:lang w:eastAsia="ko-KR"/>
              </w:rPr>
            </w:pPr>
            <w:r>
              <w:rPr>
                <w:lang w:eastAsia="ko-KR"/>
              </w:rPr>
              <w:t>3&gt;</w:t>
            </w:r>
            <w:r>
              <w:rPr>
                <w:lang w:eastAsia="ko-KR"/>
              </w:rPr>
              <w:tab/>
            </w:r>
            <w:r>
              <w:rPr>
                <w:lang w:eastAsia="ko-KR"/>
              </w:rPr>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pPr>
              <w:pStyle w:val="70"/>
              <w:rPr>
                <w:rFonts w:eastAsia="宋体"/>
                <w:lang w:eastAsia="zh-CN"/>
              </w:rPr>
            </w:pPr>
            <w:r>
              <w:rPr>
                <w:lang w:eastAsia="ko-KR"/>
              </w:rPr>
              <w:t>4&gt;</w:t>
            </w:r>
            <w:r>
              <w:rPr>
                <w:lang w:eastAsia="ko-KR"/>
              </w:rPr>
              <w:tab/>
            </w:r>
            <w:r>
              <w:rPr>
                <w:lang w:eastAsia="zh-CN"/>
              </w:rPr>
              <w:t>indicate</w:t>
            </w:r>
            <w:r>
              <w:rPr>
                <w:rFonts w:eastAsia="宋体"/>
                <w:lang w:eastAsia="zh-CN"/>
              </w:rPr>
              <w:t xml:space="preserve"> a Random Access problem to upper layers;</w:t>
            </w:r>
          </w:p>
          <w:p>
            <w:pPr>
              <w:pStyle w:val="70"/>
              <w:rPr>
                <w:rFonts w:eastAsia="宋体"/>
                <w:lang w:eastAsia="zh-CN"/>
              </w:rPr>
            </w:pPr>
            <w:r>
              <w:rPr>
                <w:lang w:eastAsia="ko-KR"/>
              </w:rPr>
              <w:t>4&gt;</w:t>
            </w:r>
            <w:r>
              <w:rPr>
                <w:lang w:eastAsia="ko-KR"/>
              </w:rPr>
              <w:tab/>
            </w:r>
            <w:r>
              <w:rPr>
                <w:lang w:eastAsia="ko-KR"/>
              </w:rPr>
              <w:t xml:space="preserve">if </w:t>
            </w:r>
            <w:r>
              <w:rPr>
                <w:lang w:eastAsia="zh-CN"/>
              </w:rPr>
              <w:t>this</w:t>
            </w:r>
            <w:r>
              <w:rPr>
                <w:lang w:eastAsia="ko-KR"/>
              </w:rPr>
              <w:t xml:space="preserve"> Random Access procedure was triggered for SI request:</w:t>
            </w:r>
          </w:p>
          <w:p>
            <w:pPr>
              <w:pStyle w:val="71"/>
              <w:rPr>
                <w:lang w:eastAsia="zh-CN"/>
              </w:rPr>
            </w:pPr>
            <w:r>
              <w:rPr>
                <w:lang w:eastAsia="zh-CN"/>
              </w:rPr>
              <w:t>5&gt;</w:t>
            </w:r>
            <w:r>
              <w:rPr>
                <w:lang w:eastAsia="zh-CN"/>
              </w:rPr>
              <w:tab/>
            </w:r>
            <w:r>
              <w:rPr>
                <w:lang w:eastAsia="ko-KR"/>
              </w:rPr>
              <w:t>consider</w:t>
            </w:r>
            <w:r>
              <w:rPr>
                <w:lang w:eastAsia="zh-CN"/>
              </w:rPr>
              <w:t xml:space="preserve"> this Random Access procedure unsuccessfully completed.</w:t>
            </w:r>
          </w:p>
          <w:p>
            <w:pPr>
              <w:pStyle w:val="69"/>
              <w:rPr>
                <w:lang w:eastAsia="ko-KR"/>
              </w:rPr>
            </w:pPr>
            <w:r>
              <w:rPr>
                <w:lang w:eastAsia="ko-KR"/>
              </w:rPr>
              <w:t>3&gt;</w:t>
            </w:r>
            <w:r>
              <w:rPr>
                <w:lang w:eastAsia="ko-KR"/>
              </w:rPr>
              <w:tab/>
            </w:r>
            <w:r>
              <w:rPr>
                <w:lang w:eastAsia="ko-KR"/>
              </w:rPr>
              <w:t>if the Random Access procedure is not completed:</w:t>
            </w:r>
          </w:p>
          <w:p>
            <w:pPr>
              <w:pStyle w:val="70"/>
              <w:rPr>
                <w:lang w:eastAsia="ko-KR"/>
              </w:rPr>
            </w:pPr>
            <w:r>
              <w:rPr>
                <w:lang w:eastAsia="ko-KR"/>
              </w:rPr>
              <w:t>4&gt;</w:t>
            </w:r>
            <w:r>
              <w:rPr>
                <w:lang w:eastAsia="ko-KR"/>
              </w:rPr>
              <w:tab/>
            </w:r>
            <w:r>
              <w:rPr>
                <w:lang w:eastAsia="ko-KR"/>
              </w:rPr>
              <w:t xml:space="preserve">if </w:t>
            </w:r>
            <w:r>
              <w:rPr>
                <w:i/>
                <w:iCs/>
                <w:lang w:eastAsia="ko-KR"/>
              </w:rPr>
              <w:t>msgA-TransMax</w:t>
            </w:r>
            <w:r>
              <w:rPr>
                <w:lang w:eastAsia="ko-KR"/>
              </w:rPr>
              <w:t xml:space="preserve"> is applied (see clause 5.1.1a) and </w:t>
            </w:r>
            <w:r>
              <w:rPr>
                <w:i/>
                <w:iCs/>
                <w:lang w:eastAsia="ko-KR"/>
              </w:rPr>
              <w:t>PREAMBLE_TRANSMISSION_COUNTER</w:t>
            </w:r>
            <w:r>
              <w:rPr>
                <w:lang w:eastAsia="ko-KR"/>
              </w:rPr>
              <w:t xml:space="preserve"> = </w:t>
            </w:r>
            <w:r>
              <w:rPr>
                <w:i/>
                <w:iCs/>
                <w:lang w:eastAsia="ko-KR"/>
              </w:rPr>
              <w:t>msgA-TransMax</w:t>
            </w:r>
            <w:r>
              <w:rPr>
                <w:lang w:eastAsia="ko-KR"/>
              </w:rPr>
              <w:t xml:space="preserve"> + 1:</w:t>
            </w:r>
          </w:p>
          <w:p>
            <w:pPr>
              <w:pStyle w:val="71"/>
              <w:rPr>
                <w:rFonts w:eastAsiaTheme="minorEastAsia"/>
                <w:lang w:eastAsia="ko-KR"/>
              </w:rPr>
            </w:pPr>
            <w:r>
              <w:rPr>
                <w:lang w:eastAsia="ko-KR"/>
              </w:rPr>
              <w:t>5&gt;</w:t>
            </w:r>
            <w:r>
              <w:rPr>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pPr>
              <w:pStyle w:val="71"/>
              <w:rPr>
                <w:lang w:eastAsia="ko-KR"/>
              </w:rPr>
            </w:pPr>
            <w:r>
              <w:rPr>
                <w:lang w:eastAsia="ko-KR"/>
              </w:rPr>
              <w:t>5&gt;</w:t>
            </w:r>
            <w:r>
              <w:rPr>
                <w:lang w:eastAsia="ko-KR"/>
              </w:rPr>
              <w:tab/>
            </w:r>
            <w:r>
              <w:t>perform initialization of variables specific to Random Access type as specified in clause 5.1.1a;</w:t>
            </w:r>
          </w:p>
          <w:p>
            <w:pPr>
              <w:pStyle w:val="71"/>
              <w:rPr>
                <w:lang w:eastAsia="ko-KR"/>
              </w:rPr>
            </w:pPr>
            <w:r>
              <w:rPr>
                <w:lang w:eastAsia="ko-KR"/>
              </w:rPr>
              <w:t>5&gt;</w:t>
            </w:r>
            <w:r>
              <w:rPr>
                <w:lang w:eastAsia="ko-KR"/>
              </w:rPr>
              <w:tab/>
            </w:r>
            <w:r>
              <w:rPr>
                <w:lang w:eastAsia="ko-KR"/>
              </w:rPr>
              <w:t xml:space="preserve">if </w:t>
            </w:r>
            <w:r>
              <w:t>the</w:t>
            </w:r>
            <w:r>
              <w:rPr>
                <w:lang w:eastAsia="ko-KR"/>
              </w:rPr>
              <w:t xml:space="preserve"> Msg3 buffer is empty:</w:t>
            </w:r>
          </w:p>
          <w:p>
            <w:pPr>
              <w:pStyle w:val="72"/>
            </w:pPr>
            <w:r>
              <w:t>6&gt;</w:t>
            </w:r>
            <w:r>
              <w:tab/>
            </w:r>
            <w:r>
              <w:t>obtain the MAC PDU to transmit from the MSGA buffer and store it in the Msg3 buffer;</w:t>
            </w:r>
          </w:p>
          <w:p>
            <w:pPr>
              <w:pStyle w:val="71"/>
            </w:pPr>
            <w:r>
              <w:t>5&gt;</w:t>
            </w:r>
            <w:r>
              <w:tab/>
            </w:r>
            <w:r>
              <w:t>flush HARQ buffer used for the transmission of MAC PDU in the MSGA buffer;</w:t>
            </w:r>
          </w:p>
          <w:p>
            <w:pPr>
              <w:pStyle w:val="71"/>
            </w:pPr>
            <w:r>
              <w:t>5&gt;</w:t>
            </w:r>
            <w:r>
              <w:tab/>
            </w:r>
            <w:r>
              <w:t>discard explicitly signalled contention-free 2-step RA type Random Access Resources, if any;</w:t>
            </w:r>
          </w:p>
          <w:p>
            <w:pPr>
              <w:pStyle w:val="71"/>
              <w:rPr>
                <w:lang w:eastAsia="ko-KR"/>
              </w:rPr>
            </w:pPr>
            <w:r>
              <w:t>5&gt;</w:t>
            </w:r>
            <w:r>
              <w:tab/>
            </w:r>
            <w:r>
              <w:t>perform the</w:t>
            </w:r>
            <w:r>
              <w:rPr>
                <w:lang w:eastAsia="ko-KR"/>
              </w:rPr>
              <w:t xml:space="preserve"> Random Access Resource selection procedure </w:t>
            </w:r>
            <w:r>
              <w:rPr>
                <w:rFonts w:eastAsia="宋体"/>
                <w:lang w:eastAsia="zh-CN"/>
              </w:rPr>
              <w:t>as specified in</w:t>
            </w:r>
            <w:r>
              <w:rPr>
                <w:lang w:eastAsia="ko-KR"/>
              </w:rPr>
              <w:t xml:space="preserve"> clause 5.1.2.</w:t>
            </w:r>
          </w:p>
          <w:p>
            <w:pPr>
              <w:pStyle w:val="70"/>
              <w:rPr>
                <w:lang w:eastAsia="ko-KR"/>
              </w:rPr>
            </w:pPr>
            <w:r>
              <w:rPr>
                <w:lang w:eastAsia="ko-KR"/>
              </w:rPr>
              <w:t>4&gt;</w:t>
            </w:r>
            <w:r>
              <w:rPr>
                <w:lang w:eastAsia="ko-KR"/>
              </w:rPr>
              <w:tab/>
            </w:r>
            <w:r>
              <w:rPr>
                <w:lang w:eastAsia="ko-KR"/>
              </w:rPr>
              <w:t>else:</w:t>
            </w:r>
          </w:p>
          <w:p>
            <w:pPr>
              <w:pStyle w:val="71"/>
              <w:rPr>
                <w:lang w:eastAsia="ko-KR"/>
              </w:rPr>
            </w:pPr>
            <w:r>
              <w:t>5&gt;</w:t>
            </w:r>
            <w:r>
              <w:tab/>
            </w:r>
            <w:r>
              <w:rPr>
                <w:lang w:eastAsia="ko-KR"/>
              </w:rPr>
              <w:t>perform the Random Access Resource selection procedure for 2-step RA type (see clause 5.1.2a).</w:t>
            </w:r>
          </w:p>
          <w:p>
            <w:pPr>
              <w:pStyle w:val="66"/>
              <w:rPr>
                <w:rFonts w:hint="eastAsia" w:eastAsia="宋体"/>
                <w:sz w:val="22"/>
                <w:szCs w:val="22"/>
                <w:vertAlign w:val="baseline"/>
                <w:lang w:val="en-US" w:eastAsia="zh-CN"/>
              </w:rPr>
            </w:pPr>
            <w:r>
              <w:rPr>
                <w:lang w:eastAsia="ko-KR"/>
              </w:rPr>
              <w:t>NOTE:</w:t>
            </w:r>
            <w:r>
              <w:rPr>
                <w:lang w:eastAsia="ko-KR"/>
              </w:rPr>
              <w:tab/>
            </w:r>
            <w:r>
              <w:rPr>
                <w:lang w:eastAsia="ko-KR"/>
              </w:rPr>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tc>
      </w:tr>
    </w:tbl>
    <w:p>
      <w:pPr>
        <w:rPr>
          <w:rFonts w:hint="eastAsia" w:eastAsia="宋体"/>
          <w:sz w:val="22"/>
          <w:szCs w:val="22"/>
          <w:lang w:val="en-US" w:eastAsia="zh-CN"/>
        </w:rPr>
      </w:pPr>
      <w:r>
        <w:rPr>
          <w:rFonts w:hint="eastAsia" w:eastAsia="宋体"/>
          <w:sz w:val="22"/>
          <w:szCs w:val="22"/>
          <w:lang w:val="en-US" w:eastAsia="zh-CN"/>
        </w:rPr>
        <w:t>The above content in TS 38.321 indicates clearly that 2-step RACH under NR-U is supported in Release 16. However, currently there are no requirements regarding 2-step RACH for NR-U. On this regard,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[2], the content copied below: </w:t>
      </w:r>
    </w:p>
    <w:tbl>
      <w:tblPr>
        <w:tblStyle w:val="21"/>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8"/>
              <w:spacing w:after="200" w:line="276" w:lineRule="auto"/>
              <w:ind w:left="0" w:leftChars="0"/>
              <w:contextualSpacing/>
              <w:jc w:val="center"/>
            </w:pPr>
          </w:p>
          <w:p>
            <w:pPr>
              <w:pStyle w:val="28"/>
              <w:spacing w:after="200" w:line="276" w:lineRule="auto"/>
              <w:ind w:left="0" w:leftChars="0"/>
              <w:contextualSpacing/>
              <w:jc w:val="center"/>
              <w:rPr>
                <w:rFonts w:hint="eastAsia"/>
                <w:lang w:val="en-US" w:eastAsia="zh-CN"/>
              </w:rPr>
            </w:pPr>
            <w:r>
              <w:drawing>
                <wp:inline distT="0" distB="0" distL="114300" distR="114300">
                  <wp:extent cx="4932045" cy="2252345"/>
                  <wp:effectExtent l="0" t="0" r="1905"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932045" cy="2252345"/>
                          </a:xfrm>
                          <a:prstGeom prst="rect">
                            <a:avLst/>
                          </a:prstGeom>
                          <a:noFill/>
                          <a:ln>
                            <a:noFill/>
                          </a:ln>
                        </pic:spPr>
                      </pic:pic>
                    </a:graphicData>
                  </a:graphic>
                </wp:inline>
              </w:drawing>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30"/>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Since the corresponding procedures for 2-step RACH under NR-U have already been captured in RAN2 specifications, it</w:t>
      </w:r>
      <w:r>
        <w:rPr>
          <w:rFonts w:hint="default" w:eastAsia="宋体"/>
          <w:sz w:val="22"/>
          <w:szCs w:val="22"/>
          <w:lang w:val="en-US" w:eastAsia="zh-CN"/>
        </w:rPr>
        <w:t>’</w:t>
      </w:r>
      <w:r>
        <w:rPr>
          <w:rFonts w:hint="eastAsia" w:eastAsia="宋体"/>
          <w:sz w:val="22"/>
          <w:szCs w:val="22"/>
          <w:lang w:val="en-US" w:eastAsia="zh-CN"/>
        </w:rPr>
        <w:t>s clear that such feature is supported in Release 16.</w:t>
      </w:r>
    </w:p>
    <w:p>
      <w:pPr>
        <w:rPr>
          <w:rFonts w:hint="eastAsia"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Procedures for 2-step RACH under NR-U have already been captured in RAN2 specifications.</w:t>
      </w:r>
    </w:p>
    <w:p>
      <w:pPr>
        <w:rPr>
          <w:rFonts w:hint="default" w:eastAsia="宋体"/>
          <w:sz w:val="22"/>
          <w:szCs w:val="22"/>
          <w:lang w:val="en-US" w:eastAsia="zh-CN"/>
        </w:rPr>
      </w:pPr>
      <w:r>
        <w:rPr>
          <w:rFonts w:hint="eastAsia" w:eastAsia="宋体"/>
          <w:sz w:val="22"/>
          <w:szCs w:val="22"/>
          <w:lang w:val="en-US" w:eastAsia="zh-CN"/>
        </w:rPr>
        <w:t>Since the feature is supported, corresponding requirements need to be defined in RAN4.</w:t>
      </w:r>
    </w:p>
    <w:p>
      <w:pPr>
        <w:pStyle w:val="38"/>
        <w:rPr>
          <w:rFonts w:hint="default"/>
          <w:lang w:val="en-US" w:eastAsia="zh-CN"/>
        </w:rPr>
      </w:pPr>
      <w:r>
        <w:rPr>
          <w:rFonts w:hint="eastAsia" w:eastAsia="宋体"/>
          <w:sz w:val="22"/>
          <w:szCs w:val="22"/>
          <w:lang w:val="en-US" w:eastAsia="zh-CN"/>
        </w:rPr>
        <w:t>RAN4 will define in Rel-16 NR-U RA requirements for 2-step RA.</w:t>
      </w:r>
    </w:p>
    <w:p>
      <w:pPr>
        <w:rPr>
          <w:rFonts w:hint="eastAsia" w:eastAsia="宋体"/>
          <w:sz w:val="22"/>
          <w:szCs w:val="22"/>
          <w:lang w:val="en-US" w:eastAsia="zh-CN"/>
        </w:rPr>
      </w:pPr>
      <w:r>
        <w:rPr>
          <w:rFonts w:hint="eastAsia" w:eastAsia="宋体"/>
          <w:sz w:val="22"/>
          <w:szCs w:val="22"/>
          <w:lang w:val="en-US" w:eastAsia="zh-CN"/>
        </w:rPr>
        <w:t>There was one company providing CR [3] to RAN4 97-e to add the requirements for 2-step and 4-step based RA procedures under NR-U. The basic skeleton of the provided CR was agreeable somehow there are details missing (for instance the mechanism to recover from consistent UL LBT failures is not included). We also align the terminology used in the CR [4] with the agreed WF [2]. We have provided a campaign CR [4] to add the core requirements to TS 38.133.</w:t>
      </w:r>
    </w:p>
    <w:p>
      <w:pPr>
        <w:pStyle w:val="38"/>
        <w:rPr>
          <w:rFonts w:hint="default" w:eastAsia="宋体"/>
          <w:sz w:val="22"/>
          <w:szCs w:val="22"/>
          <w:lang w:val="en-US" w:eastAsia="zh-CN"/>
        </w:rPr>
      </w:pPr>
      <w:r>
        <w:rPr>
          <w:rFonts w:hint="eastAsia" w:eastAsia="宋体"/>
          <w:sz w:val="22"/>
          <w:szCs w:val="22"/>
          <w:lang w:val="en-US" w:eastAsia="zh-CN"/>
        </w:rPr>
        <w:t>Agree on CR [4].</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Procedures for 2-step RACH under NR-U have already been captured in RAN2 specifications.</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RAN4 will define in Rel-16 NR-U RA requirements for 2-step RA</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 xml:space="preserve">Proposal 2: </w:t>
      </w:r>
      <w:r>
        <w:rPr>
          <w:rFonts w:hint="eastAsia" w:eastAsia="宋体"/>
          <w:b/>
          <w:bCs w:val="0"/>
          <w:sz w:val="22"/>
          <w:szCs w:val="22"/>
          <w:lang w:val="en-US" w:eastAsia="zh-CN"/>
        </w:rPr>
        <w:t>Agree on CR [4].</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38.321</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R4-2017080</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R4-2015202</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R4-2100051</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swiss"/>
    <w:pitch w:val="default"/>
    <w:sig w:usb0="900002AF" w:usb1="01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3FA5349"/>
    <w:rsid w:val="141E7377"/>
    <w:rsid w:val="1480544B"/>
    <w:rsid w:val="14A25B1A"/>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686999"/>
    <w:rsid w:val="287A3770"/>
    <w:rsid w:val="28A011E1"/>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2</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2021-01-13T07:53:49Z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